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796F" w14:textId="0AE7D202" w:rsidR="006A601A" w:rsidRPr="00E85201" w:rsidRDefault="006A601A" w:rsidP="004C51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01">
        <w:rPr>
          <w:rFonts w:ascii="Times New Roman" w:hAnsi="Times New Roman" w:cs="Times New Roman"/>
          <w:b/>
          <w:sz w:val="24"/>
          <w:szCs w:val="24"/>
        </w:rPr>
        <w:t xml:space="preserve">OBRAZLOŽENJE POSEBNOG DIJELA FINANCIJSKOG </w:t>
      </w:r>
      <w:r w:rsidR="00824240">
        <w:rPr>
          <w:rFonts w:ascii="Times New Roman" w:hAnsi="Times New Roman" w:cs="Times New Roman"/>
          <w:b/>
          <w:sz w:val="24"/>
          <w:szCs w:val="24"/>
        </w:rPr>
        <w:t>PLANA SREDIŠNJE AGENCIJE ZA 2024</w:t>
      </w:r>
      <w:r w:rsidRPr="00E8520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92C8729" w14:textId="5A706852" w:rsidR="006A601A" w:rsidRPr="00E85201" w:rsidRDefault="006A601A" w:rsidP="00CD01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6B361" w14:textId="28174D06" w:rsidR="00AC323C" w:rsidRPr="00E85201" w:rsidRDefault="00AC323C" w:rsidP="00CD0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6A1D36" w14:textId="574D73C4" w:rsidR="00AC323C" w:rsidRPr="00A102AB" w:rsidRDefault="00AF16F1" w:rsidP="00CD0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</w:rPr>
        <w:t>U Fin</w:t>
      </w:r>
      <w:r w:rsidR="003A28D5" w:rsidRPr="00A102AB">
        <w:rPr>
          <w:rFonts w:ascii="Times New Roman" w:hAnsi="Times New Roman" w:cs="Times New Roman"/>
          <w:sz w:val="24"/>
          <w:szCs w:val="24"/>
        </w:rPr>
        <w:t>ancijskom planu Agencije za 2024</w:t>
      </w:r>
      <w:r w:rsidRPr="00A102AB">
        <w:rPr>
          <w:rFonts w:ascii="Times New Roman" w:hAnsi="Times New Roman" w:cs="Times New Roman"/>
          <w:sz w:val="24"/>
          <w:szCs w:val="24"/>
        </w:rPr>
        <w:t>. godinu</w:t>
      </w:r>
      <w:r w:rsidR="00D6529D" w:rsidRPr="00A102AB">
        <w:rPr>
          <w:rFonts w:ascii="Times New Roman" w:hAnsi="Times New Roman" w:cs="Times New Roman"/>
          <w:sz w:val="24"/>
          <w:szCs w:val="24"/>
        </w:rPr>
        <w:t xml:space="preserve"> prihod</w:t>
      </w:r>
      <w:r w:rsidRPr="00A102AB">
        <w:rPr>
          <w:rFonts w:ascii="Times New Roman" w:hAnsi="Times New Roman" w:cs="Times New Roman"/>
          <w:sz w:val="24"/>
          <w:szCs w:val="24"/>
        </w:rPr>
        <w:t>i</w:t>
      </w:r>
      <w:r w:rsidR="00D6529D" w:rsidRPr="00A102AB">
        <w:rPr>
          <w:rFonts w:ascii="Times New Roman" w:hAnsi="Times New Roman" w:cs="Times New Roman"/>
          <w:sz w:val="24"/>
          <w:szCs w:val="24"/>
        </w:rPr>
        <w:t xml:space="preserve"> i rashod</w:t>
      </w:r>
      <w:r w:rsidRPr="00A102AB">
        <w:rPr>
          <w:rFonts w:ascii="Times New Roman" w:hAnsi="Times New Roman" w:cs="Times New Roman"/>
          <w:sz w:val="24"/>
          <w:szCs w:val="24"/>
        </w:rPr>
        <w:t>i</w:t>
      </w:r>
      <w:r w:rsidR="00D6529D" w:rsidRPr="00A102AB">
        <w:rPr>
          <w:rFonts w:ascii="Times New Roman" w:hAnsi="Times New Roman" w:cs="Times New Roman"/>
          <w:sz w:val="24"/>
          <w:szCs w:val="24"/>
        </w:rPr>
        <w:t xml:space="preserve"> planira</w:t>
      </w:r>
      <w:r w:rsidRPr="00A102AB">
        <w:rPr>
          <w:rFonts w:ascii="Times New Roman" w:hAnsi="Times New Roman" w:cs="Times New Roman"/>
          <w:sz w:val="24"/>
          <w:szCs w:val="24"/>
        </w:rPr>
        <w:t xml:space="preserve">ni su </w:t>
      </w:r>
      <w:r w:rsidR="00D6529D" w:rsidRPr="00A102AB">
        <w:rPr>
          <w:rFonts w:ascii="Times New Roman" w:hAnsi="Times New Roman" w:cs="Times New Roman"/>
          <w:sz w:val="24"/>
          <w:szCs w:val="24"/>
        </w:rPr>
        <w:t>na</w:t>
      </w:r>
      <w:r w:rsidR="00AC323C" w:rsidRPr="00A102AB">
        <w:rPr>
          <w:rFonts w:ascii="Times New Roman" w:hAnsi="Times New Roman" w:cs="Times New Roman"/>
          <w:sz w:val="24"/>
          <w:szCs w:val="24"/>
        </w:rPr>
        <w:t xml:space="preserve"> ukupno 1 aktivnost</w:t>
      </w:r>
      <w:r w:rsidR="00D6529D" w:rsidRPr="00A102AB">
        <w:rPr>
          <w:rFonts w:ascii="Times New Roman" w:hAnsi="Times New Roman" w:cs="Times New Roman"/>
          <w:sz w:val="24"/>
          <w:szCs w:val="24"/>
        </w:rPr>
        <w:t>i</w:t>
      </w:r>
      <w:r w:rsidR="003A28D5" w:rsidRPr="00A102AB">
        <w:rPr>
          <w:rFonts w:ascii="Times New Roman" w:hAnsi="Times New Roman" w:cs="Times New Roman"/>
          <w:sz w:val="24"/>
          <w:szCs w:val="24"/>
        </w:rPr>
        <w:t xml:space="preserve"> (A825001), 4</w:t>
      </w:r>
      <w:r w:rsidR="00AC323C" w:rsidRPr="00A102AB">
        <w:rPr>
          <w:rFonts w:ascii="Times New Roman" w:hAnsi="Times New Roman" w:cs="Times New Roman"/>
          <w:sz w:val="24"/>
          <w:szCs w:val="24"/>
        </w:rPr>
        <w:t xml:space="preserve"> kapitaln</w:t>
      </w:r>
      <w:r w:rsidR="003A28D5" w:rsidRPr="00A102AB">
        <w:rPr>
          <w:rFonts w:ascii="Times New Roman" w:hAnsi="Times New Roman" w:cs="Times New Roman"/>
          <w:sz w:val="24"/>
          <w:szCs w:val="24"/>
        </w:rPr>
        <w:t>a projekta</w:t>
      </w:r>
      <w:r w:rsidR="00AC323C" w:rsidRPr="00A102AB">
        <w:rPr>
          <w:rFonts w:ascii="Times New Roman" w:hAnsi="Times New Roman" w:cs="Times New Roman"/>
          <w:sz w:val="24"/>
          <w:szCs w:val="24"/>
        </w:rPr>
        <w:t xml:space="preserve"> (K825028</w:t>
      </w:r>
      <w:r w:rsidR="003A28D5" w:rsidRPr="00A102AB">
        <w:rPr>
          <w:rFonts w:ascii="Times New Roman" w:hAnsi="Times New Roman" w:cs="Times New Roman"/>
          <w:sz w:val="24"/>
          <w:szCs w:val="24"/>
        </w:rPr>
        <w:t>, K825032, K825033 i K825034</w:t>
      </w:r>
      <w:r w:rsidR="00AC323C" w:rsidRPr="00A102AB">
        <w:rPr>
          <w:rFonts w:ascii="Times New Roman" w:hAnsi="Times New Roman" w:cs="Times New Roman"/>
          <w:sz w:val="24"/>
          <w:szCs w:val="24"/>
        </w:rPr>
        <w:t>)</w:t>
      </w:r>
      <w:r w:rsidR="003A28D5" w:rsidRPr="00A102AB">
        <w:rPr>
          <w:rFonts w:ascii="Times New Roman" w:hAnsi="Times New Roman" w:cs="Times New Roman"/>
          <w:sz w:val="24"/>
          <w:szCs w:val="24"/>
        </w:rPr>
        <w:t xml:space="preserve"> i 7</w:t>
      </w:r>
      <w:r w:rsidR="00AC323C" w:rsidRPr="00A102AB">
        <w:rPr>
          <w:rFonts w:ascii="Times New Roman" w:hAnsi="Times New Roman" w:cs="Times New Roman"/>
          <w:sz w:val="24"/>
          <w:szCs w:val="24"/>
        </w:rPr>
        <w:t xml:space="preserve"> tekućih projekata (</w:t>
      </w:r>
      <w:r w:rsidR="003A28D5" w:rsidRPr="00A102AB">
        <w:rPr>
          <w:rFonts w:ascii="Times New Roman" w:hAnsi="Times New Roman" w:cs="Times New Roman"/>
          <w:sz w:val="24"/>
          <w:szCs w:val="24"/>
        </w:rPr>
        <w:t>T825020-T825022, T825035, T825036, T825038 i T825039</w:t>
      </w:r>
      <w:r w:rsidR="00AC323C" w:rsidRPr="00A102AB">
        <w:rPr>
          <w:rFonts w:ascii="Times New Roman" w:hAnsi="Times New Roman" w:cs="Times New Roman"/>
          <w:sz w:val="24"/>
          <w:szCs w:val="24"/>
        </w:rPr>
        <w:t>)</w:t>
      </w:r>
      <w:r w:rsidR="003A28D5" w:rsidRPr="00A102AB">
        <w:rPr>
          <w:rFonts w:ascii="Times New Roman" w:hAnsi="Times New Roman" w:cs="Times New Roman"/>
          <w:sz w:val="24"/>
          <w:szCs w:val="24"/>
        </w:rPr>
        <w:t xml:space="preserve"> od kojih su zadnja 4 otvoreni tijekom 2024. godine</w:t>
      </w:r>
      <w:r w:rsidR="00AC323C" w:rsidRPr="00A102AB">
        <w:rPr>
          <w:rFonts w:ascii="Times New Roman" w:hAnsi="Times New Roman" w:cs="Times New Roman"/>
          <w:sz w:val="24"/>
          <w:szCs w:val="24"/>
        </w:rPr>
        <w:t>.</w:t>
      </w:r>
    </w:p>
    <w:p w14:paraId="4C35117E" w14:textId="2AECEE76" w:rsidR="00306A87" w:rsidRPr="00A102AB" w:rsidRDefault="00306A87" w:rsidP="00CD0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D4385C" w14:textId="6830BBF1" w:rsidR="00C0513D" w:rsidRPr="00A102AB" w:rsidRDefault="00C0513D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Cs/>
          <w:sz w:val="24"/>
          <w:szCs w:val="24"/>
        </w:rPr>
        <w:t>Kada se gleda izvršenje po aktivnostima i projektima, aktivnost A825001</w:t>
      </w:r>
      <w:r w:rsidR="008F7914" w:rsidRPr="00A102AB">
        <w:rPr>
          <w:rFonts w:ascii="Times New Roman" w:hAnsi="Times New Roman" w:cs="Times New Roman"/>
          <w:bCs/>
          <w:sz w:val="24"/>
          <w:szCs w:val="24"/>
        </w:rPr>
        <w:t xml:space="preserve"> i kapitalni projekt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8F7914" w:rsidRPr="00A102AB">
        <w:rPr>
          <w:rFonts w:ascii="Times New Roman" w:hAnsi="Times New Roman" w:cs="Times New Roman"/>
          <w:bCs/>
          <w:sz w:val="24"/>
          <w:szCs w:val="24"/>
        </w:rPr>
        <w:t>planiran</w:t>
      </w:r>
      <w:r w:rsidR="00AF16F1" w:rsidRPr="00A102AB">
        <w:rPr>
          <w:rFonts w:ascii="Times New Roman" w:hAnsi="Times New Roman" w:cs="Times New Roman"/>
          <w:bCs/>
          <w:sz w:val="24"/>
          <w:szCs w:val="24"/>
        </w:rPr>
        <w:t>i</w:t>
      </w:r>
      <w:r w:rsidR="008F7914" w:rsidRPr="00A102AB">
        <w:rPr>
          <w:rFonts w:ascii="Times New Roman" w:hAnsi="Times New Roman" w:cs="Times New Roman"/>
          <w:bCs/>
          <w:sz w:val="24"/>
          <w:szCs w:val="24"/>
        </w:rPr>
        <w:t xml:space="preserve"> su u najvećim iznosima te s</w:t>
      </w:r>
      <w:r w:rsidRPr="00A102AB">
        <w:rPr>
          <w:rFonts w:ascii="Times New Roman" w:hAnsi="Times New Roman" w:cs="Times New Roman"/>
          <w:bCs/>
          <w:sz w:val="24"/>
          <w:szCs w:val="24"/>
        </w:rPr>
        <w:t>u</w:t>
      </w:r>
      <w:r w:rsidR="008F7914" w:rsidRPr="00A102AB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prosjeku izvršen</w:t>
      </w:r>
      <w:r w:rsidR="00AF16F1" w:rsidRPr="00A102AB">
        <w:rPr>
          <w:rFonts w:ascii="Times New Roman" w:hAnsi="Times New Roman" w:cs="Times New Roman"/>
          <w:bCs/>
          <w:sz w:val="24"/>
          <w:szCs w:val="24"/>
        </w:rPr>
        <w:t>i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kao cjelokupni Financijski plan Agencije</w:t>
      </w:r>
      <w:r w:rsidR="004370B1" w:rsidRPr="00A102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>94,97</w:t>
      </w:r>
      <w:r w:rsidR="004370B1" w:rsidRPr="00A102AB">
        <w:rPr>
          <w:rFonts w:ascii="Times New Roman" w:hAnsi="Times New Roman" w:cs="Times New Roman"/>
          <w:bCs/>
          <w:sz w:val="24"/>
          <w:szCs w:val="24"/>
        </w:rPr>
        <w:t>% na A825001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>, 94,14</w:t>
      </w:r>
      <w:r w:rsidR="004370B1" w:rsidRPr="00A102AB">
        <w:rPr>
          <w:rFonts w:ascii="Times New Roman" w:hAnsi="Times New Roman" w:cs="Times New Roman"/>
          <w:bCs/>
          <w:sz w:val="24"/>
          <w:szCs w:val="24"/>
        </w:rPr>
        <w:t>% na K825028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>, 96,05% na K825032, 93,89% na K825033 i 96,30% na K825034</w:t>
      </w:r>
      <w:r w:rsidR="004370B1" w:rsidRPr="00A102AB">
        <w:rPr>
          <w:rFonts w:ascii="Times New Roman" w:hAnsi="Times New Roman" w:cs="Times New Roman"/>
          <w:bCs/>
          <w:sz w:val="24"/>
          <w:szCs w:val="24"/>
        </w:rPr>
        <w:t>)</w:t>
      </w:r>
      <w:r w:rsidRPr="00A102AB">
        <w:rPr>
          <w:rFonts w:ascii="Times New Roman" w:hAnsi="Times New Roman" w:cs="Times New Roman"/>
          <w:bCs/>
          <w:sz w:val="24"/>
          <w:szCs w:val="24"/>
        </w:rPr>
        <w:t>. S obzirom da se na predmetnim aktivnostima i kapitalnom projektu planiraju sve aktivnosti koje Agencija provodi tijekom redovnog poslovanja, to je pokazatelj koji uvelike odražava poslovanje Agencije</w:t>
      </w:r>
      <w:r w:rsidR="00AF16F1" w:rsidRPr="00A102AB">
        <w:rPr>
          <w:rFonts w:ascii="Times New Roman" w:hAnsi="Times New Roman" w:cs="Times New Roman"/>
          <w:bCs/>
          <w:sz w:val="24"/>
          <w:szCs w:val="24"/>
        </w:rPr>
        <w:t xml:space="preserve"> odnosno izvršenje Financijskog plana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jer je potrošnja na tim stavkama uvelike pod kontrolom Agencije.</w:t>
      </w:r>
    </w:p>
    <w:p w14:paraId="74094B92" w14:textId="23A51A19" w:rsidR="00C0513D" w:rsidRPr="00A102AB" w:rsidRDefault="00C0513D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95FB0" w14:textId="0850E003" w:rsidR="00C0513D" w:rsidRPr="00A102AB" w:rsidRDefault="00C0513D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Cs/>
          <w:sz w:val="24"/>
          <w:szCs w:val="24"/>
        </w:rPr>
        <w:t>Tekući projekti koji su u provedbi (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>T</w:t>
      </w:r>
      <w:r w:rsidR="006F66DB" w:rsidRPr="00A102AB">
        <w:rPr>
          <w:rFonts w:ascii="Times New Roman" w:hAnsi="Times New Roman" w:cs="Times New Roman"/>
          <w:sz w:val="24"/>
          <w:szCs w:val="24"/>
        </w:rPr>
        <w:t>825020-T825022, T825035, T825036, T825038 i T825039</w:t>
      </w:r>
      <w:r w:rsidRPr="00A102AB">
        <w:rPr>
          <w:rFonts w:ascii="Times New Roman" w:hAnsi="Times New Roman" w:cs="Times New Roman"/>
          <w:bCs/>
          <w:sz w:val="24"/>
          <w:szCs w:val="24"/>
        </w:rPr>
        <w:t>) odnose</w:t>
      </w:r>
      <w:r w:rsidR="00AF16F1" w:rsidRPr="00A102AB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na provedbu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0D8" w:rsidRPr="00A102AB">
        <w:rPr>
          <w:rFonts w:ascii="Times New Roman" w:hAnsi="Times New Roman" w:cs="Times New Roman"/>
          <w:bCs/>
          <w:sz w:val="24"/>
          <w:szCs w:val="24"/>
        </w:rPr>
        <w:t>projekata u drugim zemljama (ne-</w:t>
      </w:r>
      <w:r w:rsidRPr="00A102AB">
        <w:rPr>
          <w:rFonts w:ascii="Times New Roman" w:hAnsi="Times New Roman" w:cs="Times New Roman"/>
          <w:bCs/>
          <w:sz w:val="24"/>
          <w:szCs w:val="24"/>
        </w:rPr>
        <w:t>članicama Europske unije).</w:t>
      </w:r>
      <w:r w:rsidR="006F66DB" w:rsidRPr="00A102AB">
        <w:rPr>
          <w:rFonts w:ascii="Times New Roman" w:hAnsi="Times New Roman" w:cs="Times New Roman"/>
          <w:bCs/>
          <w:sz w:val="24"/>
          <w:szCs w:val="24"/>
        </w:rPr>
        <w:t xml:space="preserve"> Kod ovih projekata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izvršenje je pod utjecajem potpisanih Ugovora i Sporazuma u kojima je definirana dinamika trošenja iz aspekta organizacije misija u kojima eksperti iz RH izvršavaju definirane uloge u svakoj od zemalja primateljica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podrške. U skladu s navedenim</w:t>
      </w:r>
      <w:r w:rsidR="00D6529D" w:rsidRPr="00A102AB">
        <w:rPr>
          <w:rFonts w:ascii="Times New Roman" w:hAnsi="Times New Roman" w:cs="Times New Roman"/>
          <w:bCs/>
          <w:sz w:val="24"/>
          <w:szCs w:val="24"/>
        </w:rPr>
        <w:t>,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izvršenje po svim projektima dosta oscilira od prosječnog izvršenja</w:t>
      </w:r>
      <w:r w:rsidR="00CE6EF6" w:rsidRPr="00A102AB">
        <w:rPr>
          <w:rFonts w:ascii="Times New Roman" w:hAnsi="Times New Roman" w:cs="Times New Roman"/>
          <w:bCs/>
          <w:sz w:val="24"/>
          <w:szCs w:val="24"/>
        </w:rPr>
        <w:t xml:space="preserve"> na razini Agencije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. Kod provedbe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projekata valja istaknuti </w:t>
      </w:r>
      <w:r w:rsidR="001778EB" w:rsidRPr="00A102AB">
        <w:rPr>
          <w:rFonts w:ascii="Times New Roman" w:hAnsi="Times New Roman" w:cs="Times New Roman"/>
          <w:bCs/>
          <w:sz w:val="24"/>
          <w:szCs w:val="24"/>
        </w:rPr>
        <w:t>da se projekti nastavljaju provoditi i u 2025</w:t>
      </w:r>
      <w:r w:rsidR="00AF16F1" w:rsidRPr="00A102AB">
        <w:rPr>
          <w:rFonts w:ascii="Times New Roman" w:hAnsi="Times New Roman" w:cs="Times New Roman"/>
          <w:bCs/>
          <w:sz w:val="24"/>
          <w:szCs w:val="24"/>
        </w:rPr>
        <w:t>. godini</w:t>
      </w:r>
      <w:r w:rsidR="001778EB" w:rsidRPr="00A10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AE82D2" w14:textId="77777777" w:rsidR="001778EB" w:rsidRPr="00A102AB" w:rsidRDefault="001778EB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3E275" w14:textId="62B1CA5B" w:rsidR="00C0513D" w:rsidRPr="00A102AB" w:rsidRDefault="0050751F" w:rsidP="00CD0131">
      <w:pPr>
        <w:pStyle w:val="NoSpacing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A102AB">
        <w:rPr>
          <w:rFonts w:ascii="Times New Roman" w:hAnsi="Times New Roman" w:cs="Times New Roman"/>
          <w:bCs/>
          <w:sz w:val="24"/>
          <w:szCs w:val="24"/>
        </w:rPr>
        <w:t>U nastavku su prikazani pokazatelji po ciljevima, aktivnostima i projektima te po</w:t>
      </w:r>
      <w:r w:rsidR="008F7914" w:rsidRPr="00A102AB">
        <w:rPr>
          <w:rFonts w:ascii="Times New Roman" w:hAnsi="Times New Roman" w:cs="Times New Roman"/>
          <w:bCs/>
          <w:sz w:val="24"/>
          <w:szCs w:val="24"/>
        </w:rPr>
        <w:t>daci o ostvarenim vrijednostima</w:t>
      </w:r>
      <w:r w:rsidR="00A102AB" w:rsidRPr="00A10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D07F25" w14:textId="59ACE7E3" w:rsidR="001778EB" w:rsidRDefault="001778EB" w:rsidP="00CD0131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0E3677" w14:textId="4F9EA675" w:rsidR="001778EB" w:rsidRDefault="001778EB" w:rsidP="00CD0131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64A51B" w14:textId="77777777" w:rsidR="00A102AB" w:rsidRDefault="00A102AB" w:rsidP="00CD0131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7C3A57" w14:textId="77777777" w:rsidR="00A102AB" w:rsidRDefault="00A102AB" w:rsidP="00CD0131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35194A" w14:textId="68605332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K825028 PROGRAM KONKURENTNOST I KOHEZIJA, TEHNIČKA POMOĆ SAFU 2021.-2027. (EFRR)</w:t>
      </w:r>
    </w:p>
    <w:p w14:paraId="3B011DE9" w14:textId="77777777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E5373B" w14:textId="77777777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84A621" w14:textId="78FB7849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sz w:val="24"/>
          <w:szCs w:val="24"/>
        </w:rPr>
        <w:t>Pokazatelj učinka</w:t>
      </w:r>
      <w:r w:rsidRPr="00A102AB">
        <w:rPr>
          <w:rFonts w:ascii="Times New Roman" w:hAnsi="Times New Roman" w:cs="Times New Roman"/>
          <w:sz w:val="24"/>
          <w:szCs w:val="24"/>
        </w:rPr>
        <w:t>: Uspostavljen učinkovit sustav iskorištavanja sredstava</w:t>
      </w:r>
    </w:p>
    <w:p w14:paraId="73E615B4" w14:textId="351B019F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Uspješno iskorištavanje sredstava kroz pravovremene i iscrpne podatke dostavljene kroz izvještaje o provedbi projekta</w:t>
      </w:r>
    </w:p>
    <w:p w14:paraId="517D7D2B" w14:textId="77777777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Pr="00A102AB">
        <w:rPr>
          <w:rFonts w:ascii="Times New Roman" w:hAnsi="Times New Roman" w:cs="Times New Roman"/>
          <w:bCs/>
          <w:sz w:val="24"/>
          <w:szCs w:val="24"/>
        </w:rPr>
        <w:t>: Broj dostavljenih izvještaja o provedbi projekta</w:t>
      </w:r>
    </w:p>
    <w:p w14:paraId="6E9B986A" w14:textId="49FE88A7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Pr="00A102AB">
        <w:rPr>
          <w:rFonts w:ascii="Times New Roman" w:hAnsi="Times New Roman" w:cs="Times New Roman"/>
          <w:bCs/>
          <w:sz w:val="24"/>
          <w:szCs w:val="24"/>
        </w:rPr>
        <w:t>: 0</w:t>
      </w:r>
    </w:p>
    <w:p w14:paraId="73143178" w14:textId="77777777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Pr="00A102AB">
        <w:rPr>
          <w:rFonts w:ascii="Times New Roman" w:hAnsi="Times New Roman" w:cs="Times New Roman"/>
          <w:bCs/>
          <w:sz w:val="24"/>
          <w:szCs w:val="24"/>
        </w:rPr>
        <w:t>: Izvješća o utrošku sredstava i projekcijama potrošnje</w:t>
      </w:r>
    </w:p>
    <w:p w14:paraId="62330175" w14:textId="11833EFD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BD585" w14:textId="77777777" w:rsidR="001778EB" w:rsidRPr="002448AC" w:rsidRDefault="001778EB" w:rsidP="001778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7BCB3E5B" w14:textId="57626D01" w:rsidR="001778EB" w:rsidRPr="002448AC" w:rsidRDefault="00E04E8C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>2</w:t>
      </w:r>
    </w:p>
    <w:p w14:paraId="3F24309B" w14:textId="1554DBA0" w:rsidR="001778EB" w:rsidRPr="002448AC" w:rsidRDefault="00E04E8C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1778EB"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096DB1B5" w14:textId="77777777" w:rsidR="00E04E8C" w:rsidRPr="00A102AB" w:rsidRDefault="00E04E8C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="001778EB" w:rsidRPr="00A102AB">
        <w:rPr>
          <w:rFonts w:ascii="Times New Roman" w:hAnsi="Times New Roman" w:cs="Times New Roman"/>
          <w:bCs/>
          <w:sz w:val="24"/>
          <w:szCs w:val="24"/>
        </w:rPr>
        <w:tab/>
      </w:r>
    </w:p>
    <w:p w14:paraId="554FF639" w14:textId="77777777" w:rsidR="00E04E8C" w:rsidRPr="00A102AB" w:rsidRDefault="00E04E8C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A6EFA" w14:textId="77777777" w:rsidR="00A102AB" w:rsidRDefault="00A102A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BA436D" w14:textId="5B79EE5E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K825033 PROGRAM KONKURENTNOST I KOHEZIJA, TEHNIČKA POMOĆ SAFU 2021.-2027. (KF)</w:t>
      </w:r>
    </w:p>
    <w:p w14:paraId="6FB2BA77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FD0874" w14:textId="14394912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3A38E3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sz w:val="24"/>
          <w:szCs w:val="24"/>
        </w:rPr>
        <w:t>Pokazatelj učinka</w:t>
      </w:r>
      <w:r w:rsidRPr="00A102AB">
        <w:rPr>
          <w:rFonts w:ascii="Times New Roman" w:hAnsi="Times New Roman" w:cs="Times New Roman"/>
          <w:sz w:val="24"/>
          <w:szCs w:val="24"/>
        </w:rPr>
        <w:t>: Uspostavljen učinkovit sustav iskorištavanja sredstava</w:t>
      </w:r>
    </w:p>
    <w:p w14:paraId="3BA521ED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Uspješno iskorištavanje sredstava kroz pravovremene i iscrpne podatke dostavljene kroz izvještaje o provedbi projekta</w:t>
      </w:r>
    </w:p>
    <w:p w14:paraId="4913432F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Pr="00A102AB">
        <w:rPr>
          <w:rFonts w:ascii="Times New Roman" w:hAnsi="Times New Roman" w:cs="Times New Roman"/>
          <w:bCs/>
          <w:sz w:val="24"/>
          <w:szCs w:val="24"/>
        </w:rPr>
        <w:t>: Broj dostavljenih izvještaja o provedbi projekta</w:t>
      </w:r>
    </w:p>
    <w:p w14:paraId="030543DC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Pr="00A102AB">
        <w:rPr>
          <w:rFonts w:ascii="Times New Roman" w:hAnsi="Times New Roman" w:cs="Times New Roman"/>
          <w:bCs/>
          <w:sz w:val="24"/>
          <w:szCs w:val="24"/>
        </w:rPr>
        <w:t>: 0</w:t>
      </w:r>
    </w:p>
    <w:p w14:paraId="7C0903F8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Pr="00A102AB">
        <w:rPr>
          <w:rFonts w:ascii="Times New Roman" w:hAnsi="Times New Roman" w:cs="Times New Roman"/>
          <w:bCs/>
          <w:sz w:val="24"/>
          <w:szCs w:val="24"/>
        </w:rPr>
        <w:t>: Izvješća o utrošku sredstava i projekcijama potrošnje</w:t>
      </w:r>
    </w:p>
    <w:p w14:paraId="00EA3204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D83AB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57010426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 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>2</w:t>
      </w:r>
    </w:p>
    <w:p w14:paraId="5D0900A7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3D6AFCE8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Pr="00A102AB">
        <w:rPr>
          <w:rFonts w:ascii="Times New Roman" w:hAnsi="Times New Roman" w:cs="Times New Roman"/>
          <w:bCs/>
          <w:sz w:val="24"/>
          <w:szCs w:val="24"/>
        </w:rPr>
        <w:tab/>
      </w:r>
    </w:p>
    <w:p w14:paraId="4C751BE2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B0267" w14:textId="4E061F96" w:rsidR="00E04E8C" w:rsidRPr="00A102AB" w:rsidRDefault="00E04E8C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1BD6C" w14:textId="1AACAC4E" w:rsidR="00D77B2B" w:rsidRPr="00A102AB" w:rsidRDefault="00D77B2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E6199B" w14:textId="5BDC15ED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K825034 INTEGRIRANI TERITORIJALNI PROGRAM 2021.-2027. (EFRR)</w:t>
      </w:r>
    </w:p>
    <w:p w14:paraId="5B10458A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A8F653" w14:textId="5F93FCFD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FEBA1F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sz w:val="24"/>
          <w:szCs w:val="24"/>
        </w:rPr>
        <w:t>Pokazatelj učinka</w:t>
      </w:r>
      <w:r w:rsidRPr="00A102AB">
        <w:rPr>
          <w:rFonts w:ascii="Times New Roman" w:hAnsi="Times New Roman" w:cs="Times New Roman"/>
          <w:sz w:val="24"/>
          <w:szCs w:val="24"/>
        </w:rPr>
        <w:t>: Uspostavljen učinkovit sustav iskorištavanja sredstava</w:t>
      </w:r>
    </w:p>
    <w:p w14:paraId="19372DA7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Uspješno iskorištavanje sredstava kroz pravovremene i iscrpne podatke dostavljene kroz izvještaje o provedbi projekta</w:t>
      </w:r>
    </w:p>
    <w:p w14:paraId="74DF12D7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Pr="00A102AB">
        <w:rPr>
          <w:rFonts w:ascii="Times New Roman" w:hAnsi="Times New Roman" w:cs="Times New Roman"/>
          <w:bCs/>
          <w:sz w:val="24"/>
          <w:szCs w:val="24"/>
        </w:rPr>
        <w:t>: Broj dostavljenih izvještaja o provedbi projekta</w:t>
      </w:r>
    </w:p>
    <w:p w14:paraId="2CE2C4A2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Pr="00A102AB">
        <w:rPr>
          <w:rFonts w:ascii="Times New Roman" w:hAnsi="Times New Roman" w:cs="Times New Roman"/>
          <w:bCs/>
          <w:sz w:val="24"/>
          <w:szCs w:val="24"/>
        </w:rPr>
        <w:t>: 0</w:t>
      </w:r>
    </w:p>
    <w:p w14:paraId="129E3E84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Pr="00A102AB">
        <w:rPr>
          <w:rFonts w:ascii="Times New Roman" w:hAnsi="Times New Roman" w:cs="Times New Roman"/>
          <w:bCs/>
          <w:sz w:val="24"/>
          <w:szCs w:val="24"/>
        </w:rPr>
        <w:t>: Izvješća o utrošku sredstava i projekcijama potrošnje</w:t>
      </w:r>
    </w:p>
    <w:p w14:paraId="5BD10240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504935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2F156F0A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 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>2</w:t>
      </w:r>
    </w:p>
    <w:p w14:paraId="6451A4FA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6D5AFE88" w14:textId="2B32FC90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</w:p>
    <w:p w14:paraId="72606E5B" w14:textId="78768DCB" w:rsidR="00D77B2B" w:rsidRPr="00A102AB" w:rsidRDefault="00D77B2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5782D" w14:textId="5BF6AF4F" w:rsidR="00D77B2B" w:rsidRPr="00A102AB" w:rsidRDefault="00D77B2B" w:rsidP="001778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97469" w14:textId="4DF94A0F" w:rsidR="001778EB" w:rsidRPr="00A102AB" w:rsidRDefault="001778EB" w:rsidP="001778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Cs/>
          <w:sz w:val="24"/>
          <w:szCs w:val="24"/>
        </w:rPr>
        <w:tab/>
      </w:r>
      <w:r w:rsidRPr="00A102AB">
        <w:rPr>
          <w:rFonts w:ascii="Times New Roman" w:hAnsi="Times New Roman" w:cs="Times New Roman"/>
          <w:bCs/>
          <w:sz w:val="24"/>
          <w:szCs w:val="24"/>
        </w:rPr>
        <w:tab/>
      </w:r>
    </w:p>
    <w:p w14:paraId="4B1AC342" w14:textId="27FE208C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K825032 INTEGRIRANI TERITORIJALNI PROGRAM 2021.-2027. (FPT)</w:t>
      </w:r>
    </w:p>
    <w:p w14:paraId="4AE4FC37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404800" w14:textId="5B33645D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170BA8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sz w:val="24"/>
          <w:szCs w:val="24"/>
        </w:rPr>
        <w:t>Pokazatelj učinka</w:t>
      </w:r>
      <w:r w:rsidRPr="00A102AB">
        <w:rPr>
          <w:rFonts w:ascii="Times New Roman" w:hAnsi="Times New Roman" w:cs="Times New Roman"/>
          <w:sz w:val="24"/>
          <w:szCs w:val="24"/>
        </w:rPr>
        <w:t>: Uspostavljen učinkovit sustav iskorištavanja sredstava</w:t>
      </w:r>
    </w:p>
    <w:p w14:paraId="1526F5FD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Uspješno iskorištavanje sredstava kroz pravovremene i iscrpne podatke dostavljene kroz izvještaje o provedbi projekta</w:t>
      </w:r>
    </w:p>
    <w:p w14:paraId="12B7A91B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Pr="00A102AB">
        <w:rPr>
          <w:rFonts w:ascii="Times New Roman" w:hAnsi="Times New Roman" w:cs="Times New Roman"/>
          <w:bCs/>
          <w:sz w:val="24"/>
          <w:szCs w:val="24"/>
        </w:rPr>
        <w:t>: Broj dostavljenih izvještaja o provedbi projekta</w:t>
      </w:r>
    </w:p>
    <w:p w14:paraId="2ADF1B25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Pr="00A102AB">
        <w:rPr>
          <w:rFonts w:ascii="Times New Roman" w:hAnsi="Times New Roman" w:cs="Times New Roman"/>
          <w:bCs/>
          <w:sz w:val="24"/>
          <w:szCs w:val="24"/>
        </w:rPr>
        <w:t>: 0</w:t>
      </w:r>
    </w:p>
    <w:p w14:paraId="4C2125F8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Pr="00A102AB">
        <w:rPr>
          <w:rFonts w:ascii="Times New Roman" w:hAnsi="Times New Roman" w:cs="Times New Roman"/>
          <w:bCs/>
          <w:sz w:val="24"/>
          <w:szCs w:val="24"/>
        </w:rPr>
        <w:t>: Izvješća o utrošku sredstava i projekcijama potrošnje</w:t>
      </w:r>
    </w:p>
    <w:p w14:paraId="2EBA7888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AEC04A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4513AA47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 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>2</w:t>
      </w:r>
    </w:p>
    <w:p w14:paraId="1E784601" w14:textId="77777777" w:rsidR="00D77B2B" w:rsidRPr="002448AC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07225089" w14:textId="77777777" w:rsidR="00D77B2B" w:rsidRPr="00A102AB" w:rsidRDefault="00D77B2B" w:rsidP="00D77B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</w:p>
    <w:p w14:paraId="0319AB01" w14:textId="1EABD926" w:rsidR="00D77B2B" w:rsidRPr="00A102AB" w:rsidRDefault="00D77B2B" w:rsidP="00CD0131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A7481E" w14:textId="6EBE02AF" w:rsidR="002E0BE7" w:rsidRPr="00A102AB" w:rsidRDefault="002E0BE7" w:rsidP="00CD01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T825020 Jačanje proračunskog planiranja, izvršavanja i uloge internih kontrola</w:t>
      </w:r>
    </w:p>
    <w:p w14:paraId="40DD7B0A" w14:textId="41B6442C" w:rsidR="002E0BE7" w:rsidRDefault="002E0BE7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622843" w14:textId="77777777" w:rsidR="00A102AB" w:rsidRPr="00A102AB" w:rsidRDefault="00A102AB" w:rsidP="00CD013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74B6C" w14:textId="7CB02314" w:rsidR="00F667BC" w:rsidRPr="00A102AB" w:rsidRDefault="002E0BE7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7BC" w:rsidRPr="00A102AB">
        <w:rPr>
          <w:rFonts w:ascii="Times New Roman" w:hAnsi="Times New Roman" w:cs="Times New Roman"/>
          <w:b/>
          <w:bCs/>
          <w:sz w:val="24"/>
          <w:szCs w:val="24"/>
        </w:rPr>
        <w:t>Pokazatelj rezultata</w:t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67BC" w:rsidRPr="00A102AB">
        <w:rPr>
          <w:rFonts w:ascii="Times New Roman" w:hAnsi="Times New Roman" w:cs="Times New Roman"/>
          <w:sz w:val="24"/>
          <w:szCs w:val="24"/>
        </w:rPr>
        <w:t>Broj predanih projektnih izvještaja</w:t>
      </w:r>
    </w:p>
    <w:p w14:paraId="195EE87E" w14:textId="0D03F594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>Administrativno upravljanje projektom</w:t>
      </w:r>
    </w:p>
    <w:p w14:paraId="4989AB9B" w14:textId="3A13334D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>Broj projektnih izvještaja</w:t>
      </w:r>
    </w:p>
    <w:p w14:paraId="70E41401" w14:textId="12260954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Pr="00A102AB">
        <w:rPr>
          <w:rFonts w:ascii="Times New Roman" w:hAnsi="Times New Roman" w:cs="Times New Roman"/>
          <w:bCs/>
          <w:sz w:val="24"/>
          <w:szCs w:val="24"/>
        </w:rPr>
        <w:t>: 0</w:t>
      </w:r>
    </w:p>
    <w:p w14:paraId="44639A18" w14:textId="7D26CEF6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 xml:space="preserve">Kvartalni i završni izvještaji za </w:t>
      </w:r>
      <w:proofErr w:type="spellStart"/>
      <w:r w:rsidRPr="00A102AB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sz w:val="24"/>
          <w:szCs w:val="24"/>
        </w:rPr>
        <w:t xml:space="preserve"> projekte</w:t>
      </w:r>
    </w:p>
    <w:p w14:paraId="0343A43C" w14:textId="5A6FDDF1" w:rsidR="00F667BC" w:rsidRPr="002448AC" w:rsidRDefault="00F667BC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55004D24" w14:textId="6BAE3988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2 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>2</w:t>
      </w:r>
    </w:p>
    <w:p w14:paraId="079C3287" w14:textId="029BE977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0E4B245C" w14:textId="15AA5C90" w:rsidR="00F667BC" w:rsidRPr="00A102AB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</w:p>
    <w:p w14:paraId="73BEA38D" w14:textId="38AF4D16" w:rsidR="00F667BC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D080E" w14:textId="77777777" w:rsidR="00A102AB" w:rsidRDefault="00A102A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A7CA1" w14:textId="77777777" w:rsidR="00A102AB" w:rsidRPr="00A102AB" w:rsidRDefault="00A102A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236C8" w14:textId="44E90A48" w:rsidR="002E0BE7" w:rsidRPr="00A102AB" w:rsidRDefault="002E0BE7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T825021</w:t>
      </w:r>
      <w:r w:rsidR="00564E10"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Unaprjeđenje usluga prostornih podataka u Republici </w:t>
      </w:r>
      <w:proofErr w:type="spellStart"/>
      <w:r w:rsidR="00564E10"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Moldovi</w:t>
      </w:r>
      <w:proofErr w:type="spellEnd"/>
      <w:r w:rsidR="00564E10"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skladu s EU standardima</w:t>
      </w:r>
    </w:p>
    <w:p w14:paraId="5D4B83CB" w14:textId="329ACA5E" w:rsidR="00564E10" w:rsidRDefault="00564E10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24459" w14:textId="77777777" w:rsidR="00A102AB" w:rsidRPr="00A102AB" w:rsidRDefault="00A102A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F5667" w14:textId="4F0F384A" w:rsidR="00F667BC" w:rsidRPr="00A102AB" w:rsidRDefault="00564E10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7BC" w:rsidRPr="00A102AB">
        <w:rPr>
          <w:rFonts w:ascii="Times New Roman" w:hAnsi="Times New Roman" w:cs="Times New Roman"/>
          <w:b/>
          <w:bCs/>
          <w:sz w:val="24"/>
          <w:szCs w:val="24"/>
        </w:rPr>
        <w:t>Pokazatelj rezultata</w:t>
      </w:r>
      <w:r w:rsidR="00481268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67BC" w:rsidRPr="00A102AB">
        <w:rPr>
          <w:rFonts w:ascii="Times New Roman" w:hAnsi="Times New Roman" w:cs="Times New Roman"/>
          <w:sz w:val="24"/>
          <w:szCs w:val="24"/>
        </w:rPr>
        <w:t>Broj predanih projektnih izvještaja</w:t>
      </w:r>
    </w:p>
    <w:p w14:paraId="3045306D" w14:textId="7CD90494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="00481268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>Administrativno upravljanje projektom</w:t>
      </w:r>
    </w:p>
    <w:p w14:paraId="0EF5A86D" w14:textId="43AA3F1D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</w:t>
      </w:r>
      <w:r w:rsidR="00481268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>Broj projektnih izvještaja</w:t>
      </w:r>
    </w:p>
    <w:p w14:paraId="0F1E2DDE" w14:textId="302F4CB5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</w:t>
      </w:r>
      <w:r w:rsidR="00481268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bCs/>
          <w:sz w:val="24"/>
          <w:szCs w:val="24"/>
        </w:rPr>
        <w:t>0</w:t>
      </w:r>
    </w:p>
    <w:p w14:paraId="73AB959E" w14:textId="43024862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Izvor podataka</w:t>
      </w:r>
      <w:r w:rsidR="00481268" w:rsidRPr="00A102A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102AB">
        <w:rPr>
          <w:rFonts w:ascii="Times New Roman" w:hAnsi="Times New Roman" w:cs="Times New Roman"/>
          <w:sz w:val="24"/>
          <w:szCs w:val="24"/>
        </w:rPr>
        <w:t xml:space="preserve">Kvartalni i završni izvještaji za </w:t>
      </w:r>
      <w:proofErr w:type="spellStart"/>
      <w:r w:rsidRPr="00A102AB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sz w:val="24"/>
          <w:szCs w:val="24"/>
        </w:rPr>
        <w:t xml:space="preserve"> projekte</w:t>
      </w:r>
    </w:p>
    <w:p w14:paraId="0FFDDCCE" w14:textId="00B7074B" w:rsidR="00F667BC" w:rsidRPr="002448AC" w:rsidRDefault="00F667BC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481268" w:rsidRPr="002448AC">
        <w:rPr>
          <w:rFonts w:ascii="Times New Roman" w:hAnsi="Times New Roman" w:cs="Times New Roman"/>
          <w:b/>
          <w:bCs/>
          <w:sz w:val="24"/>
          <w:szCs w:val="24"/>
        </w:rPr>
        <w:t>Ostvarena vrijednost</w:t>
      </w:r>
    </w:p>
    <w:p w14:paraId="190C71A7" w14:textId="28EB2AC7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2448AC">
        <w:rPr>
          <w:rFonts w:ascii="Times New Roman" w:hAnsi="Times New Roman" w:cs="Times New Roman"/>
          <w:bCs/>
          <w:sz w:val="24"/>
          <w:szCs w:val="24"/>
        </w:rPr>
        <w:t>1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>1</w:t>
      </w:r>
    </w:p>
    <w:p w14:paraId="0D70CA98" w14:textId="7A1F07FF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3B18E22A" w14:textId="28627154" w:rsidR="00F667BC" w:rsidRPr="00A102AB" w:rsidRDefault="00E03299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A102AB">
        <w:rPr>
          <w:rFonts w:ascii="Times New Roman" w:hAnsi="Times New Roman" w:cs="Times New Roman"/>
          <w:bCs/>
          <w:sz w:val="24"/>
          <w:szCs w:val="24"/>
        </w:rPr>
        <w:tab/>
      </w:r>
    </w:p>
    <w:p w14:paraId="44A940E5" w14:textId="77777777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2B70A7" w14:textId="7995CD8E" w:rsidR="00F667BC" w:rsidRPr="00A102AB" w:rsidRDefault="00F667BC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BAB5D" w14:textId="0BE9BC1F" w:rsidR="00CD402F" w:rsidRPr="00A102AB" w:rsidRDefault="00CD402F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2A09F" w14:textId="3138B671" w:rsidR="00CD402F" w:rsidRPr="00A102AB" w:rsidRDefault="00CD402F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63470" w14:textId="348C113A" w:rsidR="00CD402F" w:rsidRPr="00A102AB" w:rsidRDefault="00CD402F" w:rsidP="00CD402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T825022 Podrška EU u jačanju kapaciteta i usklađivanju s EU zakonodavstvom u veterinarskom sektoru u Bosni i Hercegovini</w:t>
      </w:r>
    </w:p>
    <w:p w14:paraId="198D79E2" w14:textId="470A2E42" w:rsidR="00F667BC" w:rsidRDefault="00F667BC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7623" w14:textId="77777777" w:rsidR="00A102AB" w:rsidRPr="00A102AB" w:rsidRDefault="00A102AB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983F4" w14:textId="764113AF" w:rsidR="00F667BC" w:rsidRPr="00A102AB" w:rsidRDefault="00F04785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1) Pokazatelj rezultata: </w:t>
      </w:r>
      <w:r w:rsidRPr="00A102AB">
        <w:rPr>
          <w:rFonts w:ascii="Times New Roman" w:hAnsi="Times New Roman" w:cs="Times New Roman"/>
          <w:bCs/>
          <w:sz w:val="24"/>
          <w:szCs w:val="24"/>
        </w:rPr>
        <w:t>Broj predanih projektnih izvještaja</w:t>
      </w:r>
    </w:p>
    <w:p w14:paraId="399D117E" w14:textId="5BE3ED81" w:rsidR="00F04785" w:rsidRPr="00A102AB" w:rsidRDefault="0055414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Administrativno upravljanje projektom</w:t>
      </w:r>
    </w:p>
    <w:p w14:paraId="521B5C75" w14:textId="142D1452" w:rsidR="0055414C" w:rsidRPr="00A102AB" w:rsidRDefault="0055414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Broj projektnih izvještaja</w:t>
      </w:r>
    </w:p>
    <w:p w14:paraId="20714C82" w14:textId="701E6520" w:rsidR="0055414C" w:rsidRPr="00A102AB" w:rsidRDefault="0055414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591A5D95" w14:textId="7DF346AC" w:rsidR="0055414C" w:rsidRPr="002448AC" w:rsidRDefault="0055414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 xml:space="preserve">Izvor podataka: </w:t>
      </w:r>
      <w:r w:rsidRPr="002448AC">
        <w:rPr>
          <w:rFonts w:ascii="Times New Roman" w:hAnsi="Times New Roman" w:cs="Times New Roman"/>
          <w:bCs/>
          <w:sz w:val="24"/>
          <w:szCs w:val="24"/>
        </w:rPr>
        <w:t xml:space="preserve">Kvartalni i završni izvještaji za </w:t>
      </w:r>
      <w:proofErr w:type="spellStart"/>
      <w:r w:rsidRPr="002448AC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2448AC">
        <w:rPr>
          <w:rFonts w:ascii="Times New Roman" w:hAnsi="Times New Roman" w:cs="Times New Roman"/>
          <w:bCs/>
          <w:sz w:val="24"/>
          <w:szCs w:val="24"/>
        </w:rPr>
        <w:t xml:space="preserve"> projekte</w:t>
      </w:r>
    </w:p>
    <w:p w14:paraId="3976F646" w14:textId="21C099D4" w:rsidR="00F667BC" w:rsidRPr="002448AC" w:rsidRDefault="00F667BC" w:rsidP="00F667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="0055414C"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414C"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23D2A71C" w14:textId="25B9CFC3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4 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>4</w:t>
      </w:r>
    </w:p>
    <w:p w14:paraId="6361A22E" w14:textId="6AE7944B" w:rsidR="00F667BC" w:rsidRPr="002448AC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4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00EDDE05" w14:textId="7940544F" w:rsidR="00CF6B87" w:rsidRPr="00A102AB" w:rsidRDefault="00E03299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>.</w:t>
      </w:r>
      <w:r w:rsidR="00F667BC"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</w:p>
    <w:p w14:paraId="33EF5E59" w14:textId="01035BB8" w:rsidR="000C13EB" w:rsidRPr="00A102A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25E15" w14:textId="1F404D55" w:rsidR="000C13EB" w:rsidRPr="00A102A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E38515" w14:textId="6FCA0696" w:rsidR="000C13E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B9BA8" w14:textId="77777777" w:rsidR="00A102AB" w:rsidRPr="00A102AB" w:rsidRDefault="00A102A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85DB8" w14:textId="55803E26" w:rsidR="00026B4B" w:rsidRPr="00A102A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6A3EC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T825035 Jačanje kapaciteta instituta za javnu upravu - Jordan</w:t>
      </w:r>
    </w:p>
    <w:p w14:paraId="138B66EF" w14:textId="1F3F5CEA" w:rsidR="00026B4B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C5187" w14:textId="77777777" w:rsidR="00A102AB" w:rsidRPr="00A102AB" w:rsidRDefault="00A102A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9C43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1) Pokazatelj rezultata: </w:t>
      </w:r>
      <w:r w:rsidRPr="00A102AB">
        <w:rPr>
          <w:rFonts w:ascii="Times New Roman" w:hAnsi="Times New Roman" w:cs="Times New Roman"/>
          <w:bCs/>
          <w:sz w:val="24"/>
          <w:szCs w:val="24"/>
        </w:rPr>
        <w:t>Broj predanih projektnih izvještaja</w:t>
      </w:r>
    </w:p>
    <w:p w14:paraId="0D8FB473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Administrativno upravljanje projektom</w:t>
      </w:r>
    </w:p>
    <w:p w14:paraId="5D0A47CA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Broj projektnih izvještaja</w:t>
      </w:r>
    </w:p>
    <w:p w14:paraId="6E70EA12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7CD09EA2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Izvor podataka: 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Kvartalni i završni izvještaji za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projekte</w:t>
      </w:r>
    </w:p>
    <w:p w14:paraId="6A62B4D8" w14:textId="77777777" w:rsidR="00026B4B" w:rsidRPr="002448AC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67C0B661" w14:textId="342ACAD0" w:rsidR="00026B4B" w:rsidRPr="002448AC" w:rsidRDefault="00026B4B" w:rsidP="002448AC">
      <w:pPr>
        <w:pStyle w:val="NoSpacing"/>
        <w:tabs>
          <w:tab w:val="left" w:pos="708"/>
          <w:tab w:val="left" w:pos="1416"/>
          <w:tab w:val="left" w:pos="2124"/>
          <w:tab w:val="left" w:pos="30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448AC" w:rsidRPr="002448AC">
        <w:rPr>
          <w:rFonts w:ascii="Times New Roman" w:hAnsi="Times New Roman" w:cs="Times New Roman"/>
          <w:bCs/>
          <w:sz w:val="24"/>
          <w:szCs w:val="24"/>
        </w:rPr>
        <w:t>3</w:t>
      </w:r>
      <w:r w:rsidRPr="0024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2448AC" w:rsidRPr="002448AC">
        <w:rPr>
          <w:rFonts w:ascii="Times New Roman" w:hAnsi="Times New Roman" w:cs="Times New Roman"/>
          <w:bCs/>
          <w:sz w:val="24"/>
          <w:szCs w:val="24"/>
        </w:rPr>
        <w:tab/>
        <w:t>3</w:t>
      </w:r>
    </w:p>
    <w:p w14:paraId="6721A75D" w14:textId="77777777" w:rsidR="00026B4B" w:rsidRPr="002448AC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4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111E8BDB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</w:p>
    <w:p w14:paraId="33DD1DA2" w14:textId="5BE807B4" w:rsidR="00026B4B" w:rsidRPr="00A102A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7C789A" w14:textId="77777777" w:rsidR="00026B4B" w:rsidRPr="00A102A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D47FDF" w14:textId="4EFC553B" w:rsidR="000C13EB" w:rsidRPr="00A102A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171AB" w14:textId="0B307DB1" w:rsidR="000C13EB" w:rsidRPr="00A102A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A4E1F2" w14:textId="1BDDE7AE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T825036 Tehnička pomoć u </w:t>
      </w:r>
      <w:proofErr w:type="spellStart"/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Moldovi</w:t>
      </w:r>
      <w:proofErr w:type="spellEnd"/>
    </w:p>
    <w:p w14:paraId="64D33617" w14:textId="5E529404" w:rsidR="000C13EB" w:rsidRDefault="000C13EB" w:rsidP="000C13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53772" w14:textId="77777777" w:rsidR="00A102AB" w:rsidRPr="00A102AB" w:rsidRDefault="00A102AB" w:rsidP="000C13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EF968" w14:textId="7D19116F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1) Pokazatelj rezultata: </w:t>
      </w:r>
      <w:r w:rsidRPr="00A102AB">
        <w:rPr>
          <w:rFonts w:ascii="Times New Roman" w:hAnsi="Times New Roman" w:cs="Times New Roman"/>
          <w:bCs/>
          <w:sz w:val="24"/>
          <w:szCs w:val="24"/>
        </w:rPr>
        <w:t>Broj predanih računa</w:t>
      </w:r>
    </w:p>
    <w:p w14:paraId="4042D795" w14:textId="77777777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Administrativno upravljanje projektom</w:t>
      </w:r>
    </w:p>
    <w:p w14:paraId="5F554FEF" w14:textId="1E868060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Broj računa</w:t>
      </w:r>
    </w:p>
    <w:p w14:paraId="66E877BC" w14:textId="77777777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7F46676C" w14:textId="57527302" w:rsidR="000C13EB" w:rsidRPr="00A102A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Izvor podataka: </w:t>
      </w:r>
      <w:r w:rsidRPr="00A102AB">
        <w:rPr>
          <w:rFonts w:ascii="Times New Roman" w:hAnsi="Times New Roman" w:cs="Times New Roman"/>
          <w:bCs/>
          <w:sz w:val="24"/>
          <w:szCs w:val="24"/>
        </w:rPr>
        <w:t>Račun za provedene stručne misije</w:t>
      </w:r>
    </w:p>
    <w:p w14:paraId="4AFA8B4D" w14:textId="77777777" w:rsidR="000C13EB" w:rsidRPr="002448AC" w:rsidRDefault="000C13EB" w:rsidP="000C13E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8AC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0A818A02" w14:textId="48295245" w:rsidR="002448AC" w:rsidRPr="002448AC" w:rsidRDefault="000C13EB" w:rsidP="002448AC">
      <w:pPr>
        <w:pStyle w:val="NoSpacing"/>
        <w:tabs>
          <w:tab w:val="left" w:pos="708"/>
          <w:tab w:val="left" w:pos="1416"/>
          <w:tab w:val="left" w:pos="2124"/>
          <w:tab w:val="left" w:pos="30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2024.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448AC" w:rsidRPr="002448AC">
        <w:rPr>
          <w:rFonts w:ascii="Times New Roman" w:hAnsi="Times New Roman" w:cs="Times New Roman"/>
          <w:bCs/>
          <w:sz w:val="24"/>
          <w:szCs w:val="24"/>
        </w:rPr>
        <w:t>1</w:t>
      </w:r>
      <w:r w:rsidRPr="0024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2448AC" w:rsidRPr="00244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8AC" w:rsidRPr="002448AC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1E9FD0C5" w14:textId="1DA29714" w:rsidR="000C13EB" w:rsidRPr="002448AC" w:rsidRDefault="002448AC" w:rsidP="002448A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2025.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</w:r>
      <w:r w:rsidR="000C13EB" w:rsidRPr="002448AC">
        <w:rPr>
          <w:rFonts w:ascii="Times New Roman" w:hAnsi="Times New Roman" w:cs="Times New Roman"/>
          <w:bCs/>
          <w:sz w:val="24"/>
          <w:szCs w:val="24"/>
        </w:rPr>
        <w:tab/>
      </w:r>
    </w:p>
    <w:p w14:paraId="7418E0B7" w14:textId="6566771A" w:rsidR="000C13EB" w:rsidRDefault="000C13EB" w:rsidP="000C13E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8AC">
        <w:rPr>
          <w:rFonts w:ascii="Times New Roman" w:hAnsi="Times New Roman" w:cs="Times New Roman"/>
          <w:bCs/>
          <w:sz w:val="24"/>
          <w:szCs w:val="24"/>
        </w:rPr>
        <w:t>2026.</w:t>
      </w:r>
      <w:r w:rsidRPr="002448AC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</w:p>
    <w:p w14:paraId="662A8257" w14:textId="2B4A2BE6" w:rsidR="000C13E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82D9EA" w14:textId="51EECB29" w:rsidR="000C13E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4C5FA" w14:textId="595BD8BE" w:rsidR="000C13EB" w:rsidRDefault="000C13E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1D17B" w14:textId="6CC30029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2F18D6" w14:textId="77777777" w:rsidR="00026B4B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14:paraId="73B16E1A" w14:textId="58D8CF1D" w:rsidR="00026B4B" w:rsidRPr="00A102A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50428C2B" w14:textId="668EB1BA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F38806" w14:textId="32D798E8" w:rsidR="00026B4B" w:rsidRPr="00A102AB" w:rsidRDefault="0035132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T825038 Unapređenje funkcioniranja crnogorskog AFCOS sustava u cilju učinkovite zaštite financijskih interesa EU</w:t>
      </w:r>
    </w:p>
    <w:p w14:paraId="4BB625FF" w14:textId="6C49915F" w:rsidR="00026B4B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AEC1C" w14:textId="77777777" w:rsidR="00A102AB" w:rsidRPr="00A102AB" w:rsidRDefault="00A102A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C7CFB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1) Pokazatelj rezultata: </w:t>
      </w:r>
      <w:r w:rsidRPr="00A102AB">
        <w:rPr>
          <w:rFonts w:ascii="Times New Roman" w:hAnsi="Times New Roman" w:cs="Times New Roman"/>
          <w:bCs/>
          <w:sz w:val="24"/>
          <w:szCs w:val="24"/>
        </w:rPr>
        <w:t>Broj predanih projektnih izvještaja</w:t>
      </w:r>
    </w:p>
    <w:p w14:paraId="16B37EC1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Administrativno upravljanje projektom</w:t>
      </w:r>
    </w:p>
    <w:p w14:paraId="7F127638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Broj projektnih izvještaja</w:t>
      </w:r>
    </w:p>
    <w:p w14:paraId="024E46D2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0FFF9F2A" w14:textId="77777777" w:rsidR="00026B4B" w:rsidRPr="00A102A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Izvor podataka: 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Kvartalni i završni izvještaji za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projekte</w:t>
      </w:r>
    </w:p>
    <w:p w14:paraId="5C89BC90" w14:textId="77777777" w:rsidR="00026B4B" w:rsidRPr="007564EA" w:rsidRDefault="00026B4B" w:rsidP="00026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4EA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756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2B13DAE6" w14:textId="28C2B567" w:rsidR="00026B4B" w:rsidRPr="007564EA" w:rsidRDefault="0035132B" w:rsidP="007564EA">
      <w:pPr>
        <w:pStyle w:val="NoSpacing"/>
        <w:tabs>
          <w:tab w:val="left" w:pos="708"/>
          <w:tab w:val="left" w:pos="1416"/>
          <w:tab w:val="left" w:pos="2124"/>
          <w:tab w:val="left" w:pos="30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2024.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7564EA" w:rsidRPr="007564EA">
        <w:rPr>
          <w:rFonts w:ascii="Times New Roman" w:hAnsi="Times New Roman" w:cs="Times New Roman"/>
          <w:bCs/>
          <w:sz w:val="24"/>
          <w:szCs w:val="24"/>
        </w:rPr>
        <w:t>1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="007564EA" w:rsidRPr="007564EA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33C16353" w14:textId="3E6ACE91" w:rsidR="00026B4B" w:rsidRPr="007564EA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2025</w:t>
      </w:r>
      <w:r w:rsidR="0035132B" w:rsidRPr="007564EA">
        <w:rPr>
          <w:rFonts w:ascii="Times New Roman" w:hAnsi="Times New Roman" w:cs="Times New Roman"/>
          <w:bCs/>
          <w:sz w:val="24"/>
          <w:szCs w:val="24"/>
        </w:rPr>
        <w:t>.</w:t>
      </w:r>
      <w:r w:rsidR="0035132B"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</w:p>
    <w:p w14:paraId="1D0C42B8" w14:textId="77777777" w:rsidR="00026B4B" w:rsidRDefault="00026B4B" w:rsidP="00026B4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2026.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0</w:t>
      </w:r>
    </w:p>
    <w:p w14:paraId="663AFE6B" w14:textId="003F427D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6734E" w14:textId="44E22C29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6BDD1" w14:textId="7C1B44ED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080AD9" w14:textId="77777777" w:rsidR="0035132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94F356" w14:textId="543A0129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  <w:u w:val="single"/>
        </w:rPr>
        <w:t>T825039 Podrška inspekcijskim službama za prijevoz putnika i robe u Sjevernoj Makedoniji</w:t>
      </w:r>
    </w:p>
    <w:p w14:paraId="0A47EF2E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F6F63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1) Pokazatelj rezultata: </w:t>
      </w:r>
      <w:r w:rsidRPr="00A102AB">
        <w:rPr>
          <w:rFonts w:ascii="Times New Roman" w:hAnsi="Times New Roman" w:cs="Times New Roman"/>
          <w:bCs/>
          <w:sz w:val="24"/>
          <w:szCs w:val="24"/>
        </w:rPr>
        <w:t>Broj predanih projektnih izvještaja</w:t>
      </w:r>
    </w:p>
    <w:p w14:paraId="5950DADE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Definicija</w:t>
      </w:r>
      <w:r w:rsidRPr="00A102AB">
        <w:rPr>
          <w:rFonts w:ascii="Times New Roman" w:hAnsi="Times New Roman" w:cs="Times New Roman"/>
          <w:bCs/>
          <w:sz w:val="24"/>
          <w:szCs w:val="24"/>
        </w:rPr>
        <w:t>: Administrativno upravljanje projektom</w:t>
      </w:r>
    </w:p>
    <w:p w14:paraId="0DE94F71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Jedinica: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Broj projektnih izvještaja</w:t>
      </w:r>
    </w:p>
    <w:p w14:paraId="4A995EE4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>Polazna vrijednost: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 0</w:t>
      </w:r>
    </w:p>
    <w:p w14:paraId="78DA3D8C" w14:textId="77777777" w:rsidR="0035132B" w:rsidRPr="00A102A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2AB">
        <w:rPr>
          <w:rFonts w:ascii="Times New Roman" w:hAnsi="Times New Roman" w:cs="Times New Roman"/>
          <w:b/>
          <w:bCs/>
          <w:sz w:val="24"/>
          <w:szCs w:val="24"/>
        </w:rPr>
        <w:t xml:space="preserve">Izvor podataka: </w:t>
      </w:r>
      <w:r w:rsidRPr="00A102AB">
        <w:rPr>
          <w:rFonts w:ascii="Times New Roman" w:hAnsi="Times New Roman" w:cs="Times New Roman"/>
          <w:bCs/>
          <w:sz w:val="24"/>
          <w:szCs w:val="24"/>
        </w:rPr>
        <w:t xml:space="preserve">Kvartalni i završni izvještaji za </w:t>
      </w:r>
      <w:proofErr w:type="spellStart"/>
      <w:r w:rsidRPr="00A102AB">
        <w:rPr>
          <w:rFonts w:ascii="Times New Roman" w:hAnsi="Times New Roman" w:cs="Times New Roman"/>
          <w:bCs/>
          <w:sz w:val="24"/>
          <w:szCs w:val="24"/>
        </w:rPr>
        <w:t>twinning</w:t>
      </w:r>
      <w:proofErr w:type="spellEnd"/>
      <w:r w:rsidRPr="00A102AB">
        <w:rPr>
          <w:rFonts w:ascii="Times New Roman" w:hAnsi="Times New Roman" w:cs="Times New Roman"/>
          <w:bCs/>
          <w:sz w:val="24"/>
          <w:szCs w:val="24"/>
        </w:rPr>
        <w:t xml:space="preserve"> projekte</w:t>
      </w:r>
    </w:p>
    <w:p w14:paraId="67781333" w14:textId="77777777" w:rsidR="0035132B" w:rsidRPr="007564EA" w:rsidRDefault="0035132B" w:rsidP="0035132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4EA">
        <w:rPr>
          <w:rFonts w:ascii="Times New Roman" w:hAnsi="Times New Roman" w:cs="Times New Roman"/>
          <w:b/>
          <w:bCs/>
          <w:sz w:val="24"/>
          <w:szCs w:val="24"/>
        </w:rPr>
        <w:t>Ciljana vrijednost</w:t>
      </w:r>
      <w:r w:rsidRPr="007564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/>
          <w:bCs/>
          <w:sz w:val="24"/>
          <w:szCs w:val="24"/>
        </w:rPr>
        <w:tab/>
        <w:t>Ostvarena vrijednost</w:t>
      </w:r>
    </w:p>
    <w:p w14:paraId="048588BD" w14:textId="3B2F07BC" w:rsidR="0035132B" w:rsidRPr="007564EA" w:rsidRDefault="0035132B" w:rsidP="007564EA">
      <w:pPr>
        <w:pStyle w:val="NoSpacing"/>
        <w:tabs>
          <w:tab w:val="left" w:pos="708"/>
          <w:tab w:val="left" w:pos="1416"/>
          <w:tab w:val="left" w:pos="2124"/>
          <w:tab w:val="left" w:pos="31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2024.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7564EA" w:rsidRPr="007564EA">
        <w:rPr>
          <w:rFonts w:ascii="Times New Roman" w:hAnsi="Times New Roman" w:cs="Times New Roman"/>
          <w:bCs/>
          <w:sz w:val="24"/>
          <w:szCs w:val="24"/>
        </w:rPr>
        <w:t>1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="007564EA" w:rsidRPr="007564EA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11DB5BC8" w14:textId="43BB30DE" w:rsidR="0035132B" w:rsidRPr="007564EA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2025.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4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</w:r>
    </w:p>
    <w:p w14:paraId="275CC613" w14:textId="5E6C851D" w:rsidR="0035132B" w:rsidRDefault="0035132B" w:rsidP="003513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4EA">
        <w:rPr>
          <w:rFonts w:ascii="Times New Roman" w:hAnsi="Times New Roman" w:cs="Times New Roman"/>
          <w:bCs/>
          <w:sz w:val="24"/>
          <w:szCs w:val="24"/>
        </w:rPr>
        <w:t>2026.</w:t>
      </w:r>
      <w:r w:rsidRPr="007564EA">
        <w:rPr>
          <w:rFonts w:ascii="Times New Roman" w:hAnsi="Times New Roman" w:cs="Times New Roman"/>
          <w:bCs/>
          <w:sz w:val="24"/>
          <w:szCs w:val="24"/>
        </w:rPr>
        <w:tab/>
        <w:t xml:space="preserve"> 3</w:t>
      </w:r>
    </w:p>
    <w:p w14:paraId="128B70F1" w14:textId="0A788C7F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2876D" w14:textId="55024FA4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B627C2" w14:textId="6C3A224A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AE6676" w14:textId="06F9D9EB" w:rsidR="00026B4B" w:rsidRDefault="00026B4B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D77C9" w14:textId="73F39FAE" w:rsidR="00CF6B87" w:rsidRDefault="00CF6B87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0CE03" w14:textId="77777777" w:rsidR="00CF6B87" w:rsidRDefault="00CF6B87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7A3B7" w14:textId="72D9355B" w:rsidR="00F667BC" w:rsidRPr="00E85201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5201">
        <w:rPr>
          <w:rFonts w:ascii="Times New Roman" w:hAnsi="Times New Roman" w:cs="Times New Roman"/>
          <w:bCs/>
          <w:sz w:val="24"/>
          <w:szCs w:val="24"/>
        </w:rPr>
        <w:tab/>
      </w:r>
      <w:r w:rsidRPr="00E85201">
        <w:rPr>
          <w:rFonts w:ascii="Times New Roman" w:hAnsi="Times New Roman" w:cs="Times New Roman"/>
          <w:bCs/>
          <w:sz w:val="24"/>
          <w:szCs w:val="24"/>
        </w:rPr>
        <w:tab/>
      </w:r>
      <w:r w:rsidRPr="00E85201">
        <w:rPr>
          <w:rFonts w:ascii="Times New Roman" w:hAnsi="Times New Roman" w:cs="Times New Roman"/>
          <w:bCs/>
          <w:sz w:val="24"/>
          <w:szCs w:val="24"/>
        </w:rPr>
        <w:tab/>
      </w:r>
    </w:p>
    <w:p w14:paraId="5B7077A0" w14:textId="79D0A468" w:rsidR="00F667BC" w:rsidRPr="00E85201" w:rsidRDefault="00F667BC" w:rsidP="00F667B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C7C24" w14:textId="5948DFB5" w:rsidR="00F667BC" w:rsidRPr="00E85201" w:rsidRDefault="00F667BC" w:rsidP="00F667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667BC" w:rsidRPr="00E8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236"/>
    <w:multiLevelType w:val="multilevel"/>
    <w:tmpl w:val="5CB8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6B2"/>
    <w:multiLevelType w:val="multilevel"/>
    <w:tmpl w:val="01C4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49C8"/>
    <w:multiLevelType w:val="multilevel"/>
    <w:tmpl w:val="A4E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152A"/>
    <w:multiLevelType w:val="hybridMultilevel"/>
    <w:tmpl w:val="F36E7946"/>
    <w:lvl w:ilvl="0" w:tplc="0AC8E55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30C"/>
    <w:multiLevelType w:val="multilevel"/>
    <w:tmpl w:val="D60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46213"/>
    <w:multiLevelType w:val="multilevel"/>
    <w:tmpl w:val="6EF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F3763"/>
    <w:multiLevelType w:val="hybridMultilevel"/>
    <w:tmpl w:val="2486A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62954"/>
    <w:multiLevelType w:val="hybridMultilevel"/>
    <w:tmpl w:val="27F690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39CA"/>
    <w:multiLevelType w:val="multilevel"/>
    <w:tmpl w:val="56A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E1D47"/>
    <w:multiLevelType w:val="multilevel"/>
    <w:tmpl w:val="B6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17A41"/>
    <w:multiLevelType w:val="multilevel"/>
    <w:tmpl w:val="C8D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063A1"/>
    <w:multiLevelType w:val="multilevel"/>
    <w:tmpl w:val="E472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2296E"/>
    <w:multiLevelType w:val="multilevel"/>
    <w:tmpl w:val="554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03D90"/>
    <w:multiLevelType w:val="hybridMultilevel"/>
    <w:tmpl w:val="0E88DB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6132E"/>
    <w:multiLevelType w:val="multilevel"/>
    <w:tmpl w:val="DD1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9B12BD"/>
    <w:multiLevelType w:val="multilevel"/>
    <w:tmpl w:val="192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15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C4"/>
    <w:rsid w:val="000026D7"/>
    <w:rsid w:val="00003785"/>
    <w:rsid w:val="00004996"/>
    <w:rsid w:val="00026B4B"/>
    <w:rsid w:val="00042FE1"/>
    <w:rsid w:val="000435F3"/>
    <w:rsid w:val="00060D93"/>
    <w:rsid w:val="0006478D"/>
    <w:rsid w:val="0009599C"/>
    <w:rsid w:val="000B779F"/>
    <w:rsid w:val="000C0502"/>
    <w:rsid w:val="000C13EB"/>
    <w:rsid w:val="000D5478"/>
    <w:rsid w:val="000F2371"/>
    <w:rsid w:val="00113D4B"/>
    <w:rsid w:val="00117731"/>
    <w:rsid w:val="00157A2A"/>
    <w:rsid w:val="001770D8"/>
    <w:rsid w:val="001778EB"/>
    <w:rsid w:val="001A0F83"/>
    <w:rsid w:val="001A1B39"/>
    <w:rsid w:val="001A32EA"/>
    <w:rsid w:val="001B1E0C"/>
    <w:rsid w:val="001C09C5"/>
    <w:rsid w:val="001C31C4"/>
    <w:rsid w:val="001D08DF"/>
    <w:rsid w:val="001D5850"/>
    <w:rsid w:val="001E2828"/>
    <w:rsid w:val="001E6A92"/>
    <w:rsid w:val="001F0DD2"/>
    <w:rsid w:val="001F24DB"/>
    <w:rsid w:val="00210D91"/>
    <w:rsid w:val="002448AC"/>
    <w:rsid w:val="00245B22"/>
    <w:rsid w:val="00245E80"/>
    <w:rsid w:val="00267370"/>
    <w:rsid w:val="00275510"/>
    <w:rsid w:val="00287F0D"/>
    <w:rsid w:val="0029339B"/>
    <w:rsid w:val="002A7B83"/>
    <w:rsid w:val="002B0DB1"/>
    <w:rsid w:val="002C162B"/>
    <w:rsid w:val="002E0BE7"/>
    <w:rsid w:val="00306A87"/>
    <w:rsid w:val="00307BBE"/>
    <w:rsid w:val="0031698B"/>
    <w:rsid w:val="00320A44"/>
    <w:rsid w:val="00340554"/>
    <w:rsid w:val="003421A9"/>
    <w:rsid w:val="0035132B"/>
    <w:rsid w:val="003570BF"/>
    <w:rsid w:val="00385082"/>
    <w:rsid w:val="00397829"/>
    <w:rsid w:val="003A2676"/>
    <w:rsid w:val="003A28D5"/>
    <w:rsid w:val="003A7C71"/>
    <w:rsid w:val="003B36AE"/>
    <w:rsid w:val="003C1145"/>
    <w:rsid w:val="003E73DD"/>
    <w:rsid w:val="003F3303"/>
    <w:rsid w:val="00410F1E"/>
    <w:rsid w:val="0042012E"/>
    <w:rsid w:val="00425807"/>
    <w:rsid w:val="004370B1"/>
    <w:rsid w:val="00446C82"/>
    <w:rsid w:val="00450743"/>
    <w:rsid w:val="004649A2"/>
    <w:rsid w:val="00465E44"/>
    <w:rsid w:val="0047468B"/>
    <w:rsid w:val="00481268"/>
    <w:rsid w:val="00482F36"/>
    <w:rsid w:val="004C0FF3"/>
    <w:rsid w:val="004C51E7"/>
    <w:rsid w:val="004F4771"/>
    <w:rsid w:val="004F7F00"/>
    <w:rsid w:val="00503638"/>
    <w:rsid w:val="00506EBF"/>
    <w:rsid w:val="0050751F"/>
    <w:rsid w:val="00511C56"/>
    <w:rsid w:val="005334A1"/>
    <w:rsid w:val="0055414C"/>
    <w:rsid w:val="00564E10"/>
    <w:rsid w:val="005665D9"/>
    <w:rsid w:val="00570070"/>
    <w:rsid w:val="00577060"/>
    <w:rsid w:val="00583557"/>
    <w:rsid w:val="005A47D0"/>
    <w:rsid w:val="005D1AE2"/>
    <w:rsid w:val="005D4E08"/>
    <w:rsid w:val="006611FB"/>
    <w:rsid w:val="00670A24"/>
    <w:rsid w:val="006735BD"/>
    <w:rsid w:val="006973C0"/>
    <w:rsid w:val="006A601A"/>
    <w:rsid w:val="006D3532"/>
    <w:rsid w:val="006E0937"/>
    <w:rsid w:val="006F66DB"/>
    <w:rsid w:val="00701AE7"/>
    <w:rsid w:val="00704874"/>
    <w:rsid w:val="0071666D"/>
    <w:rsid w:val="00716EA0"/>
    <w:rsid w:val="00726E02"/>
    <w:rsid w:val="00740129"/>
    <w:rsid w:val="007402EA"/>
    <w:rsid w:val="00746F02"/>
    <w:rsid w:val="00750367"/>
    <w:rsid w:val="007564EA"/>
    <w:rsid w:val="007854DF"/>
    <w:rsid w:val="00787B0E"/>
    <w:rsid w:val="007A0BD3"/>
    <w:rsid w:val="007B2261"/>
    <w:rsid w:val="007D25A2"/>
    <w:rsid w:val="00801AC0"/>
    <w:rsid w:val="00821F1E"/>
    <w:rsid w:val="00824240"/>
    <w:rsid w:val="00841151"/>
    <w:rsid w:val="00842FA5"/>
    <w:rsid w:val="00862177"/>
    <w:rsid w:val="0086330E"/>
    <w:rsid w:val="008640CC"/>
    <w:rsid w:val="0087110D"/>
    <w:rsid w:val="00876842"/>
    <w:rsid w:val="0088636E"/>
    <w:rsid w:val="0089471F"/>
    <w:rsid w:val="008A13A4"/>
    <w:rsid w:val="008A13C8"/>
    <w:rsid w:val="008B3A7E"/>
    <w:rsid w:val="008F7914"/>
    <w:rsid w:val="00911D64"/>
    <w:rsid w:val="00946A34"/>
    <w:rsid w:val="009475C4"/>
    <w:rsid w:val="009758D8"/>
    <w:rsid w:val="00975A79"/>
    <w:rsid w:val="00996E8D"/>
    <w:rsid w:val="009C38DE"/>
    <w:rsid w:val="009D1434"/>
    <w:rsid w:val="009D276B"/>
    <w:rsid w:val="009F764F"/>
    <w:rsid w:val="00A102AB"/>
    <w:rsid w:val="00A11638"/>
    <w:rsid w:val="00A16BFB"/>
    <w:rsid w:val="00A17B4C"/>
    <w:rsid w:val="00A22C4D"/>
    <w:rsid w:val="00A23626"/>
    <w:rsid w:val="00A25FC0"/>
    <w:rsid w:val="00A45D96"/>
    <w:rsid w:val="00A71209"/>
    <w:rsid w:val="00A7277A"/>
    <w:rsid w:val="00A9352B"/>
    <w:rsid w:val="00AB02CC"/>
    <w:rsid w:val="00AC1EC8"/>
    <w:rsid w:val="00AC2CEF"/>
    <w:rsid w:val="00AC323C"/>
    <w:rsid w:val="00AE7930"/>
    <w:rsid w:val="00AF16F1"/>
    <w:rsid w:val="00AF7C92"/>
    <w:rsid w:val="00B12CFC"/>
    <w:rsid w:val="00B50366"/>
    <w:rsid w:val="00B53119"/>
    <w:rsid w:val="00B5312F"/>
    <w:rsid w:val="00B64347"/>
    <w:rsid w:val="00BA257C"/>
    <w:rsid w:val="00BA5E4F"/>
    <w:rsid w:val="00BA6139"/>
    <w:rsid w:val="00BE455F"/>
    <w:rsid w:val="00BF2139"/>
    <w:rsid w:val="00C0513D"/>
    <w:rsid w:val="00C14CEA"/>
    <w:rsid w:val="00C27677"/>
    <w:rsid w:val="00C46141"/>
    <w:rsid w:val="00C46B1A"/>
    <w:rsid w:val="00C53A47"/>
    <w:rsid w:val="00C555E9"/>
    <w:rsid w:val="00C55B68"/>
    <w:rsid w:val="00C72386"/>
    <w:rsid w:val="00CD0131"/>
    <w:rsid w:val="00CD2330"/>
    <w:rsid w:val="00CD402F"/>
    <w:rsid w:val="00CE3E2B"/>
    <w:rsid w:val="00CE6EF6"/>
    <w:rsid w:val="00CF6B87"/>
    <w:rsid w:val="00D01185"/>
    <w:rsid w:val="00D059EB"/>
    <w:rsid w:val="00D1421C"/>
    <w:rsid w:val="00D350F4"/>
    <w:rsid w:val="00D43AC6"/>
    <w:rsid w:val="00D465CB"/>
    <w:rsid w:val="00D516F0"/>
    <w:rsid w:val="00D6529D"/>
    <w:rsid w:val="00D67C9A"/>
    <w:rsid w:val="00D70450"/>
    <w:rsid w:val="00D77B2B"/>
    <w:rsid w:val="00D91324"/>
    <w:rsid w:val="00DD5391"/>
    <w:rsid w:val="00E03299"/>
    <w:rsid w:val="00E04E8C"/>
    <w:rsid w:val="00E11A56"/>
    <w:rsid w:val="00E12C2B"/>
    <w:rsid w:val="00E203E2"/>
    <w:rsid w:val="00E43D68"/>
    <w:rsid w:val="00E4743C"/>
    <w:rsid w:val="00E537C6"/>
    <w:rsid w:val="00E552C2"/>
    <w:rsid w:val="00E56683"/>
    <w:rsid w:val="00E748D0"/>
    <w:rsid w:val="00E85201"/>
    <w:rsid w:val="00E911B8"/>
    <w:rsid w:val="00EB16D4"/>
    <w:rsid w:val="00EB6514"/>
    <w:rsid w:val="00F0238C"/>
    <w:rsid w:val="00F04785"/>
    <w:rsid w:val="00F138B2"/>
    <w:rsid w:val="00F13C72"/>
    <w:rsid w:val="00F15437"/>
    <w:rsid w:val="00F32866"/>
    <w:rsid w:val="00F34E02"/>
    <w:rsid w:val="00F35D4C"/>
    <w:rsid w:val="00F41D4F"/>
    <w:rsid w:val="00F508CB"/>
    <w:rsid w:val="00F50DBA"/>
    <w:rsid w:val="00F60624"/>
    <w:rsid w:val="00F667BC"/>
    <w:rsid w:val="00FB4E59"/>
    <w:rsid w:val="00FD1EBB"/>
    <w:rsid w:val="00FE155B"/>
    <w:rsid w:val="00FE16BD"/>
    <w:rsid w:val="00FE1BFD"/>
    <w:rsid w:val="00FF1744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4FC6"/>
  <w15:docId w15:val="{69AB4D6C-C5BB-4AAE-ACEC-761EDDE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BD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E16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1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3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43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5665D9"/>
  </w:style>
  <w:style w:type="character" w:customStyle="1" w:styleId="Heading3Char">
    <w:name w:val="Heading 3 Char"/>
    <w:basedOn w:val="DefaultParagraphFont"/>
    <w:link w:val="Heading3"/>
    <w:uiPriority w:val="9"/>
    <w:rsid w:val="00FE16B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E16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E16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BD"/>
    <w:rPr>
      <w:color w:val="0000FF"/>
      <w:u w:val="single"/>
    </w:rPr>
  </w:style>
  <w:style w:type="paragraph" w:customStyle="1" w:styleId="t">
    <w:name w:val="t"/>
    <w:basedOn w:val="Normal"/>
    <w:rsid w:val="00FE16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ore">
    <w:name w:val="more"/>
    <w:basedOn w:val="DefaultParagraphFont"/>
    <w:rsid w:val="00FE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Marinela Tomić</dc:creator>
  <cp:lastModifiedBy>Marina Dudok</cp:lastModifiedBy>
  <cp:revision>8</cp:revision>
  <cp:lastPrinted>2023-07-11T11:40:00Z</cp:lastPrinted>
  <dcterms:created xsi:type="dcterms:W3CDTF">2025-03-25T12:52:00Z</dcterms:created>
  <dcterms:modified xsi:type="dcterms:W3CDTF">2025-03-25T13:04:00Z</dcterms:modified>
</cp:coreProperties>
</file>